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408" w:tblpY="718"/>
        <w:tblOverlap w:val="never"/>
        <w:tblW w:w="1105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35"/>
        <w:gridCol w:w="1275"/>
        <w:gridCol w:w="1125"/>
        <w:gridCol w:w="435"/>
        <w:gridCol w:w="2685"/>
        <w:gridCol w:w="1260"/>
        <w:gridCol w:w="990"/>
        <w:gridCol w:w="450"/>
      </w:tblGrid>
      <w:tr w14:paraId="3BB2505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55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D965"/>
          </w:tcPr>
          <w:p w14:paraId="5AD0DC7B">
            <w:pPr>
              <w:jc w:val="center"/>
              <w:rPr>
                <w:rFonts w:ascii="Times New Roman" w:hAnsi="Times New Roman"/>
                <w:b/>
                <w:bCs/>
                <w:color w:val="231F20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bCs/>
                <w:color w:val="000000"/>
              </w:rPr>
              <w:t>TECNICO IN ECONOMIA AZIENDALE</w:t>
            </w:r>
          </w:p>
        </w:tc>
      </w:tr>
      <w:tr w14:paraId="20F5F5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D965"/>
          </w:tcPr>
          <w:p w14:paraId="7E151AC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ELENCO DEI MODULI PROFESSIONALI OBBLIGATORI </w:t>
            </w:r>
          </w:p>
        </w:tc>
        <w:tc>
          <w:tcPr>
            <w:tcW w:w="283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E599"/>
            <w:vAlign w:val="center"/>
          </w:tcPr>
          <w:p w14:paraId="74CAAE2C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I classe </w:t>
            </w:r>
          </w:p>
        </w:tc>
        <w:tc>
          <w:tcPr>
            <w:tcW w:w="268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D965"/>
          </w:tcPr>
          <w:p w14:paraId="4EA3A34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ELENCO DEI MODULI PROFESSIONALI OBBLIGATORI </w:t>
            </w:r>
          </w:p>
        </w:tc>
        <w:tc>
          <w:tcPr>
            <w:tcW w:w="270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E599"/>
            <w:vAlign w:val="center"/>
          </w:tcPr>
          <w:p w14:paraId="61603AE8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II classe </w:t>
            </w:r>
          </w:p>
        </w:tc>
      </w:tr>
      <w:tr w14:paraId="6E43DF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</w:trPr>
        <w:tc>
          <w:tcPr>
            <w:tcW w:w="283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856A678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21AE920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settimanali 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42AD67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annuali 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textDirection w:val="btLr"/>
            <w:vAlign w:val="center"/>
          </w:tcPr>
          <w:p w14:paraId="0FF81989">
            <w:pPr>
              <w:ind w:left="113" w:right="113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  <w:tc>
          <w:tcPr>
            <w:tcW w:w="268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F68E27D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48299D7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settimanali </w:t>
            </w:r>
          </w:p>
        </w:tc>
        <w:tc>
          <w:tcPr>
            <w:tcW w:w="9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31AC9E6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annuali </w:t>
            </w:r>
          </w:p>
        </w:tc>
        <w:tc>
          <w:tcPr>
            <w:tcW w:w="4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textDirection w:val="btLr"/>
            <w:vAlign w:val="center"/>
          </w:tcPr>
          <w:p w14:paraId="7EF7D060">
            <w:pPr>
              <w:ind w:left="113" w:right="113"/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</w:tr>
      <w:tr w14:paraId="7DFA80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241B1EA7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Introduzione all’imprenditoria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A9987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1ECAB6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A99E80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16542B3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Pianificazione dell’attività imprenditoriale 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2CEB695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68803E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62B2EF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67BFCF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6C300C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Tecnologie dell'informazione e della comunicazione nella gestione dell’ufficio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09F5E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874294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62123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13845374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Fogli di calcolo nell’attività aziendale 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0A2D302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AAC403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EF4F3F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1D6D0DA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2425DF7">
            <w:pPr>
              <w:pStyle w:val="4"/>
            </w:pPr>
            <w:r>
              <w:t xml:space="preserve">Fondamenti di contabilità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D8C59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CFFE97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96636B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1B6E0BC2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Contabilità del patrimonio e delle passività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3908BDA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1FF776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6C242F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</w:tr>
      <w:tr w14:paraId="52263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A236E52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Introduzione alla finanza personale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07EED9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FFF6F9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1EFE0D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66E61ED9">
            <w:pPr>
              <w:rPr>
                <w:rFonts w:ascii="Times New Roman" w:hAnsi="Times New Roman" w:eastAsia="Calibri"/>
                <w:color w:val="231F20"/>
              </w:rPr>
            </w:pPr>
            <w:r>
              <w:rPr>
                <w:rFonts w:ascii="Times New Roman" w:hAnsi="Times New Roman" w:eastAsia="Calibri"/>
              </w:rPr>
              <w:t>Comportamento del consumatore</w:t>
            </w:r>
            <w:r>
              <w:rPr>
                <w:rFonts w:ascii="Times New Roman" w:hAnsi="Times New Roman" w:eastAsia="Calibri"/>
                <w:color w:val="231F20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11634E5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874BA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6D8842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094D100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62D88EE4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Introduzione alla comunicazione aziendale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EC6030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797231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D0FA9B7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2573ACA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Microeconomia 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3118F6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BD3037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555AEA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14BB5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0EC5C0E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Dattilografia nell’attività d’ufficio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8F1049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BCE315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175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3C0486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7</w:t>
            </w:r>
          </w:p>
        </w:tc>
        <w:tc>
          <w:tcPr>
            <w:tcW w:w="268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3949C7C0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Comunicazioni aziendali scritte </w:t>
            </w:r>
          </w:p>
        </w:tc>
        <w:tc>
          <w:tcPr>
            <w:tcW w:w="1260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5244E62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EBE8F0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4178C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6AD599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 w:themeFill="accent4" w:themeFillTint="32"/>
            <w:vAlign w:val="center"/>
          </w:tcPr>
          <w:p w14:paraId="5712EE43">
            <w:pPr>
              <w:keepNext w:val="0"/>
              <w:keepLines w:val="0"/>
              <w:widowControl/>
              <w:suppressLineNumbers w:val="0"/>
              <w:jc w:val="left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  <w:sz w:val="24"/>
                <w:szCs w:val="24"/>
              </w:rPr>
              <w:t>Lingua stranier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hr-HR"/>
              </w:rPr>
              <w:t xml:space="preserve">a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tecnico-professionale 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hr-HR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Dati anagrafici nell’esposizione scritta e orale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4F441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FC5B9B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F2ED94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2685" w:type="dxa"/>
            <w:vMerge w:val="restart"/>
            <w:tcBorders>
              <w:top w:val="nil"/>
              <w:left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442B30E8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Gestione finanziaria</w:t>
            </w:r>
          </w:p>
        </w:tc>
        <w:tc>
          <w:tcPr>
            <w:tcW w:w="1260" w:type="dxa"/>
            <w:vMerge w:val="restart"/>
            <w:tcBorders>
              <w:top w:val="nil"/>
              <w:left w:val="outset" w:color="auto" w:sz="6" w:space="0"/>
              <w:right w:val="outset" w:color="auto" w:sz="6" w:space="0"/>
            </w:tcBorders>
            <w:vAlign w:val="center"/>
          </w:tcPr>
          <w:p w14:paraId="52ED084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right w:val="outset" w:color="auto" w:sz="6" w:space="0"/>
            </w:tcBorders>
            <w:vAlign w:val="center"/>
          </w:tcPr>
          <w:p w14:paraId="16F76E5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vMerge w:val="restart"/>
            <w:tcBorders>
              <w:top w:val="nil"/>
              <w:left w:val="nil"/>
              <w:right w:val="outset" w:color="auto" w:sz="6" w:space="0"/>
            </w:tcBorders>
            <w:vAlign w:val="center"/>
          </w:tcPr>
          <w:p w14:paraId="04F96EB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61E0A2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3" w:hRule="atLeast"/>
        </w:trPr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 w:themeFill="accent4" w:themeFillTint="32"/>
            <w:vAlign w:val="center"/>
          </w:tcPr>
          <w:p w14:paraId="190FE9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hr-HR" w:eastAsia="zh-CN" w:bidi="ar"/>
              </w:rPr>
              <w:t xml:space="preserve">Lingua straniera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tecnico-professionale II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hr-HR" w:eastAsia="zh-CN" w:bidi="ar"/>
              </w:rPr>
              <w:t xml:space="preserve">,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Gestione aziendale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1C8EE1A">
            <w:pPr>
              <w:jc w:val="center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151037F">
            <w:pPr>
              <w:jc w:val="center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C77A69">
            <w:pPr>
              <w:jc w:val="center"/>
              <w:rPr>
                <w:rFonts w:hint="default" w:ascii="Times New Roman" w:hAnsi="Times New Roman" w:eastAsia="Calibri"/>
                <w:lang w:val="hr-HR"/>
              </w:rPr>
            </w:pPr>
            <w:r>
              <w:rPr>
                <w:rFonts w:hint="default" w:ascii="Times New Roman" w:hAnsi="Times New Roman" w:eastAsia="Calibri"/>
                <w:lang w:val="hr-HR"/>
              </w:rPr>
              <w:t>6</w:t>
            </w:r>
          </w:p>
        </w:tc>
        <w:tc>
          <w:tcPr>
            <w:tcW w:w="268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2C102FA9">
            <w:pPr>
              <w:rPr>
                <w:rFonts w:ascii="Times New Roman" w:hAnsi="Times New Roman" w:eastAsia="Calibri"/>
              </w:rPr>
            </w:pPr>
          </w:p>
        </w:tc>
        <w:tc>
          <w:tcPr>
            <w:tcW w:w="1260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D56559C">
            <w:pPr>
              <w:jc w:val="center"/>
              <w:rPr>
                <w:rFonts w:ascii="Times New Roman" w:hAnsi="Times New Roman" w:eastAsia="Calibri"/>
              </w:rPr>
            </w:pPr>
          </w:p>
        </w:tc>
        <w:tc>
          <w:tcPr>
            <w:tcW w:w="990" w:type="dxa"/>
            <w:vMerge w:val="continue"/>
            <w:tcBorders>
              <w:left w:val="nil"/>
              <w:bottom w:val="outset" w:color="auto" w:sz="6" w:space="0"/>
              <w:right w:val="outset" w:color="auto" w:sz="6" w:space="0"/>
            </w:tcBorders>
          </w:tcPr>
          <w:p w14:paraId="49BE29D1">
            <w:pPr>
              <w:jc w:val="center"/>
              <w:rPr>
                <w:rFonts w:ascii="Times New Roman" w:hAnsi="Times New Roman" w:eastAsia="Calibri"/>
              </w:rPr>
            </w:pPr>
          </w:p>
        </w:tc>
        <w:tc>
          <w:tcPr>
            <w:tcW w:w="450" w:type="dxa"/>
            <w:vMerge w:val="continue"/>
            <w:tcBorders>
              <w:left w:val="nil"/>
              <w:bottom w:val="outset" w:color="auto" w:sz="6" w:space="0"/>
              <w:right w:val="outset" w:color="auto" w:sz="6" w:space="0"/>
            </w:tcBorders>
          </w:tcPr>
          <w:p w14:paraId="312E148E">
            <w:pPr>
              <w:jc w:val="center"/>
              <w:rPr>
                <w:rFonts w:ascii="Times New Roman" w:hAnsi="Times New Roman" w:eastAsia="Calibri"/>
              </w:rPr>
            </w:pPr>
          </w:p>
        </w:tc>
      </w:tr>
      <w:tr w14:paraId="4AC384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055" w:type="dxa"/>
            <w:gridSpan w:val="8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7A1AFB">
            <w:pPr>
              <w:rPr>
                <w:rFonts w:ascii="Times New Roman" w:hAnsi="Times New Roman" w:eastAsia="Calibri"/>
              </w:rPr>
            </w:pPr>
          </w:p>
        </w:tc>
      </w:tr>
      <w:tr w14:paraId="2BFB9C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vMerge w:val="restart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D965"/>
          </w:tcPr>
          <w:p w14:paraId="01087FA0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ELENCO DEI </w:t>
            </w:r>
            <w:r>
              <w:rPr>
                <w:rFonts w:ascii="Times New Roman" w:hAnsi="Times New Roman"/>
                <w:b/>
                <w:bCs/>
                <w:color w:val="231F20"/>
                <w:shd w:val="clear" w:color="auto" w:fill="FFD965"/>
              </w:rPr>
              <w:t>MODULI PROFESSIONALI OBBLIGATORI</w:t>
            </w:r>
          </w:p>
        </w:tc>
        <w:tc>
          <w:tcPr>
            <w:tcW w:w="2835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E599"/>
          </w:tcPr>
          <w:p w14:paraId="46B1B413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III classe </w:t>
            </w:r>
          </w:p>
        </w:tc>
        <w:tc>
          <w:tcPr>
            <w:tcW w:w="2685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D965"/>
          </w:tcPr>
          <w:p w14:paraId="455042E6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ELENCO DEI MODULI PROFESSIONALI OBBLIGATORI</w:t>
            </w:r>
          </w:p>
        </w:tc>
        <w:tc>
          <w:tcPr>
            <w:tcW w:w="2700" w:type="dxa"/>
            <w:gridSpan w:val="3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E599"/>
          </w:tcPr>
          <w:p w14:paraId="59EE60A3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 w:eastAsia="Calibri"/>
                <w:b/>
                <w:bCs/>
              </w:rPr>
              <w:t xml:space="preserve">IV classe </w:t>
            </w:r>
          </w:p>
        </w:tc>
      </w:tr>
      <w:tr w14:paraId="304286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34" w:hRule="atLeast"/>
        </w:trPr>
        <w:tc>
          <w:tcPr>
            <w:tcW w:w="2835" w:type="dxa"/>
            <w:vMerge w:val="continue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 w14:paraId="4FBFC55C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423B5F96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settimanali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4BECC898">
            <w:pPr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 xml:space="preserve">n. ore annuali 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textDirection w:val="btLr"/>
            <w:vAlign w:val="center"/>
          </w:tcPr>
          <w:p w14:paraId="4BB7EFA9">
            <w:pPr>
              <w:ind w:left="113" w:right="113"/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  <w:tc>
          <w:tcPr>
            <w:tcW w:w="2685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7EC3BC0">
            <w:pPr>
              <w:spacing w:before="0" w:beforeAutospacing="0" w:after="0" w:afterAutospacing="0" w:line="240" w:lineRule="auto"/>
              <w:rPr>
                <w:rFonts w:ascii="Times New Roman" w:hAnsi="Times New Roman" w:eastAsia="Calibri"/>
                <w:b/>
                <w:bCs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126A44CC">
            <w:pPr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settimanali</w:t>
            </w:r>
          </w:p>
        </w:tc>
        <w:tc>
          <w:tcPr>
            <w:tcW w:w="99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60C3C7AB">
            <w:pPr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n. ore annuali</w:t>
            </w:r>
          </w:p>
        </w:tc>
        <w:tc>
          <w:tcPr>
            <w:tcW w:w="450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textDirection w:val="btLr"/>
            <w:vAlign w:val="center"/>
          </w:tcPr>
          <w:p w14:paraId="02F04ADA">
            <w:pPr>
              <w:ind w:left="113" w:right="113"/>
              <w:jc w:val="center"/>
              <w:rPr>
                <w:rFonts w:ascii="Times New Roman" w:hAnsi="Times New Roman" w:eastAsia="Calibri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231F20"/>
              </w:rPr>
              <w:t>CSVET</w:t>
            </w:r>
          </w:p>
        </w:tc>
      </w:tr>
      <w:tr w14:paraId="647E48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82D4029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Iniziativa imprenditoriale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0B2729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347DA1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B2D680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257E59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Contabilità imprenditoriale 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6FED0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430851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810994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135F96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650AD25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Basi di dati e sistemi informativi aziendali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553A01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076823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61F7B8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303C1BA7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Macroeconomia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549E34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15AC05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28483D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55D985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1219C53A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Contabilità della produzione e del commercio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BDF18A6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425C3B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0DA605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6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6EFF3621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Statistica aziendale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721649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37690D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0FC20709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2A0B2B2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267C6558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Gestione degli elementi dell'insieme delle leve di marketing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4204AB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9B809E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4C124A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4AC6D253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Gestione dell’impresa simulata 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7A370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33BF76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8D651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  <w:tr w14:paraId="5FA85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33F8FB9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Fondamenti di economia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50B478C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C2CD37B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507E802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07582C4C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Attività e tirocini sul posto di lavoro 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A9AFAC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963F03F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9660DDA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</w:tr>
      <w:tr w14:paraId="204C31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3273955E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Avvio di un’impresa simulata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17CEB4D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7104043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6BCF41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2B8E93B6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Gestione sostenibile dell’impresa 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4B481910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D62A51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65C59F02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4</w:t>
            </w:r>
          </w:p>
        </w:tc>
      </w:tr>
      <w:tr w14:paraId="4C3305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35" w:type="dxa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20BF0193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Processi lavorativi nell’organizzazione </w:t>
            </w:r>
          </w:p>
        </w:tc>
        <w:tc>
          <w:tcPr>
            <w:tcW w:w="127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84835C1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1552304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50</w:t>
            </w:r>
          </w:p>
        </w:tc>
        <w:tc>
          <w:tcPr>
            <w:tcW w:w="43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7ABA7DE5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2</w:t>
            </w:r>
          </w:p>
        </w:tc>
        <w:tc>
          <w:tcPr>
            <w:tcW w:w="2685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shd w:val="clear" w:color="auto" w:fill="FEF2CC"/>
            <w:vAlign w:val="center"/>
          </w:tcPr>
          <w:p w14:paraId="16D14F32">
            <w:pPr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 xml:space="preserve">Contesto giuridico e politico dell’attività economica </w:t>
            </w:r>
          </w:p>
        </w:tc>
        <w:tc>
          <w:tcPr>
            <w:tcW w:w="126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3941F04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3416B1EE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outset" w:color="auto" w:sz="6" w:space="0"/>
              <w:right w:val="outset" w:color="auto" w:sz="6" w:space="0"/>
            </w:tcBorders>
            <w:vAlign w:val="center"/>
          </w:tcPr>
          <w:p w14:paraId="24D443F8">
            <w:pPr>
              <w:jc w:val="center"/>
              <w:rPr>
                <w:rFonts w:ascii="Times New Roman" w:hAnsi="Times New Roman" w:eastAsia="Calibri"/>
              </w:rPr>
            </w:pPr>
            <w:r>
              <w:rPr>
                <w:rFonts w:ascii="Times New Roman" w:hAnsi="Times New Roman" w:eastAsia="Calibri"/>
              </w:rPr>
              <w:t>5</w:t>
            </w:r>
          </w:p>
        </w:tc>
      </w:tr>
    </w:tbl>
    <w:p w14:paraId="34FD0125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5E6"/>
    <w:rsid w:val="002F75E6"/>
    <w:rsid w:val="00752156"/>
    <w:rsid w:val="1E037CD0"/>
    <w:rsid w:val="74D8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4" w:lineRule="auto"/>
    </w:pPr>
    <w:rPr>
      <w:rFonts w:ascii="Calibri" w:hAnsi="Calibri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line="240" w:lineRule="auto"/>
    </w:pPr>
    <w:rPr>
      <w:rFonts w:ascii="Times New Roman" w:hAnsi="Times New Roman"/>
    </w:rPr>
  </w:style>
  <w:style w:type="table" w:styleId="5">
    <w:name w:val="Table Grid"/>
    <w:basedOn w:val="3"/>
    <w:qFormat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hr-HR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267</Words>
  <Characters>1493</Characters>
  <Lines>12</Lines>
  <Paragraphs>3</Paragraphs>
  <TotalTime>81</TotalTime>
  <ScaleCrop>false</ScaleCrop>
  <LinksUpToDate>false</LinksUpToDate>
  <CharactersWithSpaces>1653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2026-03-24T12:02:00Z</dcterms:created>
  <dc:creator>SMSIR</dc:creator>
  <cp:lastModifiedBy>SMSIR</cp:lastModifiedBy>
  <cp:lastPrinted>2026-03-25T10:36:00Z</cp:lastPrinted>
  <dcterms:modified xsi:type="dcterms:W3CDTF">2026-05-05T06:58:57Z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66A8D9E410504EA2A9A17136712A76D1_13</vt:lpwstr>
  </property>
</Properties>
</file>